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Amélie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یلی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یک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دختر فرانسو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است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 با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در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پی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رش زند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تجربه ها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تلخ دوران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اش باعث شده تا او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متفاوت به نظر ب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او در زند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تواند عاد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رفتار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ند تا 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 بسته 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را در درون 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وار خانه اش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پی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دا 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ند، ام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سع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دارد صاحب آن جعبه را ب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ابد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https://www.imdb.com/title/tt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0211915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mdb.com/title/tt0211915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