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Daniel Tiger's Neighborhood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همسا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یگان دنیل تایگر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سر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یال همسایگان دنیل تایگر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Daniel Tiger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 Neighborhood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سع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دارد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که با موزیک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مناسب درس ها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یی که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کودکان باید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یاد بگیرند را به آنها آموزش دهد؛ هر روز دنیل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ژاکت قرمز خود را می پوشد، بند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کفش های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خود را مح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کرده و خود را برای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ماجراجو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جد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ید آماده می کند؛ با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کمک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یل و دوستانش هر روز مطلبی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آموزش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برا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کودکان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پیش دبستانی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دارند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https://www.imdb.com/title/tt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"https://www.imdb.com/title/tt2014553/"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2014553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"https://www.imdb.com/title/tt2014553/"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imdb.com/title/tt2014553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